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5CFB0B" w14:textId="6853F7D5" w:rsidR="009C1D78" w:rsidRPr="00D20ED2" w:rsidRDefault="00000000">
      <w:pPr>
        <w:widowControl w:val="0"/>
        <w:pBdr>
          <w:top w:val="nil"/>
          <w:left w:val="nil"/>
          <w:bottom w:val="nil"/>
          <w:right w:val="nil"/>
          <w:between w:val="nil"/>
        </w:pBdr>
        <w:tabs>
          <w:tab w:val="right" w:pos="7088"/>
          <w:tab w:val="right" w:pos="9781"/>
        </w:tabs>
        <w:spacing w:after="0"/>
        <w:rPr>
          <w:rFonts w:ascii="Arial" w:hAnsi="Arial" w:cs="Arial"/>
          <w:color w:val="000000"/>
          <w:sz w:val="28"/>
          <w:szCs w:val="28"/>
        </w:rPr>
      </w:pPr>
      <w:bookmarkStart w:id="0" w:name="_heading=h.jhomygud9nu7" w:colFirst="0" w:colLast="0"/>
      <w:bookmarkEnd w:id="0"/>
      <w:r>
        <w:rPr>
          <w:rFonts w:ascii="Arial" w:eastAsia="Arial" w:hAnsi="Arial" w:cs="Arial"/>
          <w:b/>
          <w:color w:val="000000"/>
          <w:sz w:val="28"/>
          <w:szCs w:val="28"/>
        </w:rPr>
        <w:t xml:space="preserve">3GPP </w:t>
      </w:r>
      <w:bookmarkStart w:id="1" w:name="bookmark=id.x3e6a97nvlg2" w:colFirst="0" w:colLast="0"/>
      <w:bookmarkStart w:id="2" w:name="bookmark=id.o3tcrjmf57kg" w:colFirst="0" w:colLast="0"/>
      <w:bookmarkStart w:id="3" w:name="bookmark=id.o4n6igumicwy" w:colFirst="0" w:colLast="0"/>
      <w:bookmarkEnd w:id="1"/>
      <w:bookmarkEnd w:id="2"/>
      <w:bookmarkEnd w:id="3"/>
      <w:r>
        <w:rPr>
          <w:rFonts w:ascii="Arial" w:eastAsia="Arial" w:hAnsi="Arial" w:cs="Arial"/>
          <w:b/>
          <w:color w:val="000000"/>
          <w:sz w:val="28"/>
          <w:szCs w:val="28"/>
        </w:rPr>
        <w:t>TSG RAN Meeting #10</w:t>
      </w:r>
      <w:r>
        <w:rPr>
          <w:rFonts w:ascii="Arial" w:eastAsia="Arial" w:hAnsi="Arial" w:cs="Arial"/>
          <w:b/>
          <w:sz w:val="28"/>
          <w:szCs w:val="28"/>
        </w:rPr>
        <w:t>9</w:t>
      </w:r>
      <w:r>
        <w:rPr>
          <w:rFonts w:ascii="Arial" w:eastAsia="Arial" w:hAnsi="Arial" w:cs="Arial"/>
          <w:b/>
          <w:color w:val="000000"/>
          <w:sz w:val="28"/>
          <w:szCs w:val="28"/>
        </w:rPr>
        <w:tab/>
      </w:r>
      <w:r>
        <w:rPr>
          <w:rFonts w:ascii="Arial" w:eastAsia="Arial" w:hAnsi="Arial" w:cs="Arial"/>
          <w:b/>
          <w:color w:val="000000"/>
          <w:sz w:val="28"/>
          <w:szCs w:val="28"/>
        </w:rPr>
        <w:tab/>
        <w:t xml:space="preserve"> R</w:t>
      </w:r>
      <w:r>
        <w:rPr>
          <w:rFonts w:ascii="Arial" w:eastAsia="Arial" w:hAnsi="Arial" w:cs="Arial"/>
          <w:b/>
          <w:sz w:val="28"/>
          <w:szCs w:val="28"/>
        </w:rPr>
        <w:t>P</w:t>
      </w:r>
      <w:r>
        <w:rPr>
          <w:rFonts w:ascii="Arial" w:eastAsia="Arial" w:hAnsi="Arial" w:cs="Arial"/>
          <w:b/>
          <w:color w:val="000000"/>
          <w:sz w:val="28"/>
          <w:szCs w:val="28"/>
        </w:rPr>
        <w:t>-2</w:t>
      </w:r>
      <w:r>
        <w:rPr>
          <w:rFonts w:ascii="Arial" w:eastAsia="Arial" w:hAnsi="Arial" w:cs="Arial"/>
          <w:b/>
          <w:sz w:val="28"/>
          <w:szCs w:val="28"/>
        </w:rPr>
        <w:t>5</w:t>
      </w:r>
      <w:r w:rsidR="00D20ED2">
        <w:rPr>
          <w:rFonts w:ascii="Arial" w:hAnsi="Arial" w:cs="Arial" w:hint="eastAsia"/>
          <w:b/>
          <w:color w:val="000000"/>
          <w:sz w:val="28"/>
          <w:szCs w:val="28"/>
        </w:rPr>
        <w:t>1939</w:t>
      </w:r>
    </w:p>
    <w:p w14:paraId="7E178984" w14:textId="77777777" w:rsidR="009C1D78" w:rsidRDefault="00000000">
      <w:pPr>
        <w:pBdr>
          <w:top w:val="nil"/>
          <w:left w:val="nil"/>
          <w:bottom w:val="nil"/>
          <w:right w:val="nil"/>
          <w:between w:val="nil"/>
        </w:pBdr>
        <w:spacing w:after="120"/>
        <w:rPr>
          <w:rFonts w:ascii="Arial" w:eastAsia="Arial" w:hAnsi="Arial" w:cs="Arial"/>
          <w:b/>
          <w:color w:val="000000"/>
          <w:sz w:val="28"/>
          <w:szCs w:val="28"/>
        </w:rPr>
      </w:pPr>
      <w:bookmarkStart w:id="4" w:name="_heading=h.yylirl21m5v6" w:colFirst="0" w:colLast="0"/>
      <w:bookmarkEnd w:id="4"/>
      <w:r>
        <w:rPr>
          <w:rFonts w:ascii="Arial" w:eastAsia="Arial" w:hAnsi="Arial" w:cs="Arial"/>
          <w:b/>
          <w:sz w:val="28"/>
          <w:szCs w:val="28"/>
        </w:rPr>
        <w:t>Beijing, China, September</w:t>
      </w:r>
      <w:r>
        <w:rPr>
          <w:rFonts w:ascii="Arial" w:eastAsia="Arial" w:hAnsi="Arial" w:cs="Arial"/>
          <w:b/>
          <w:color w:val="000000"/>
          <w:sz w:val="28"/>
          <w:szCs w:val="28"/>
        </w:rPr>
        <w:t xml:space="preserve"> </w:t>
      </w:r>
      <w:r>
        <w:rPr>
          <w:rFonts w:ascii="Arial" w:eastAsia="Arial" w:hAnsi="Arial" w:cs="Arial"/>
          <w:b/>
          <w:sz w:val="28"/>
          <w:szCs w:val="28"/>
        </w:rPr>
        <w:t>15 - 18</w:t>
      </w:r>
      <w:r>
        <w:rPr>
          <w:rFonts w:ascii="Arial" w:eastAsia="Arial" w:hAnsi="Arial" w:cs="Arial"/>
          <w:b/>
          <w:color w:val="000000"/>
          <w:sz w:val="28"/>
          <w:szCs w:val="28"/>
        </w:rPr>
        <w:t>, 202</w:t>
      </w:r>
      <w:r>
        <w:rPr>
          <w:rFonts w:ascii="Arial" w:eastAsia="Arial" w:hAnsi="Arial" w:cs="Arial"/>
          <w:b/>
          <w:sz w:val="28"/>
          <w:szCs w:val="28"/>
        </w:rPr>
        <w:t>5</w:t>
      </w:r>
    </w:p>
    <w:p w14:paraId="680399D1" w14:textId="77777777" w:rsidR="009C1D78" w:rsidRDefault="009C1D78">
      <w:pPr>
        <w:spacing w:after="120"/>
        <w:ind w:left="1985" w:hanging="1985"/>
        <w:rPr>
          <w:rFonts w:ascii="Arial" w:eastAsia="Arial" w:hAnsi="Arial" w:cs="Arial"/>
          <w:b/>
          <w:sz w:val="22"/>
          <w:szCs w:val="22"/>
        </w:rPr>
      </w:pPr>
    </w:p>
    <w:p w14:paraId="6D30D358" w14:textId="56BA15B6" w:rsidR="009C1D78" w:rsidRPr="00C1084D" w:rsidRDefault="00000000">
      <w:pPr>
        <w:spacing w:after="120"/>
        <w:ind w:left="1800" w:hanging="1800"/>
        <w:rPr>
          <w:rFonts w:ascii="Arial" w:hAnsi="Arial" w:cs="Arial"/>
          <w:b/>
          <w:sz w:val="24"/>
          <w:szCs w:val="24"/>
        </w:rPr>
      </w:pPr>
      <w:r>
        <w:rPr>
          <w:rFonts w:ascii="Arial" w:eastAsia="Arial" w:hAnsi="Arial" w:cs="Arial"/>
          <w:b/>
          <w:sz w:val="24"/>
          <w:szCs w:val="24"/>
        </w:rPr>
        <w:t xml:space="preserve">Agenda Item: </w:t>
      </w:r>
      <w:r>
        <w:rPr>
          <w:rFonts w:ascii="Arial" w:eastAsia="Arial" w:hAnsi="Arial" w:cs="Arial"/>
          <w:b/>
          <w:sz w:val="24"/>
          <w:szCs w:val="24"/>
        </w:rPr>
        <w:tab/>
      </w:r>
      <w:r w:rsidR="00C1084D">
        <w:rPr>
          <w:rFonts w:ascii="Arial" w:hAnsi="Arial" w:cs="Arial" w:hint="eastAsia"/>
          <w:b/>
          <w:sz w:val="24"/>
          <w:szCs w:val="24"/>
        </w:rPr>
        <w:t>8.2.1.3</w:t>
      </w:r>
    </w:p>
    <w:p w14:paraId="0528D0CE" w14:textId="3E31E8D7" w:rsidR="009C1D78" w:rsidRPr="00E503C8" w:rsidRDefault="00000000">
      <w:pPr>
        <w:pBdr>
          <w:top w:val="nil"/>
          <w:left w:val="nil"/>
          <w:bottom w:val="nil"/>
          <w:right w:val="nil"/>
          <w:between w:val="nil"/>
        </w:pBdr>
        <w:spacing w:after="120"/>
        <w:ind w:left="1800" w:hanging="1800"/>
        <w:rPr>
          <w:rFonts w:ascii="Arial" w:hAnsi="Arial" w:cs="Arial" w:hint="eastAsia"/>
          <w:b/>
          <w:sz w:val="24"/>
          <w:szCs w:val="24"/>
        </w:rPr>
      </w:pPr>
      <w:r>
        <w:rPr>
          <w:rFonts w:ascii="Arial" w:eastAsia="Arial" w:hAnsi="Arial" w:cs="Arial"/>
          <w:b/>
          <w:sz w:val="24"/>
          <w:szCs w:val="24"/>
        </w:rPr>
        <w:t>Source:</w:t>
      </w:r>
      <w:r>
        <w:rPr>
          <w:rFonts w:ascii="Arial" w:eastAsia="Arial" w:hAnsi="Arial" w:cs="Arial"/>
          <w:b/>
          <w:sz w:val="24"/>
          <w:szCs w:val="24"/>
        </w:rPr>
        <w:tab/>
        <w:t>Boost Mobile Network</w:t>
      </w:r>
    </w:p>
    <w:p w14:paraId="09DF2FCD" w14:textId="77777777" w:rsidR="009C1D78" w:rsidRDefault="00000000">
      <w:pPr>
        <w:pBdr>
          <w:top w:val="nil"/>
          <w:left w:val="nil"/>
          <w:bottom w:val="nil"/>
          <w:right w:val="nil"/>
          <w:between w:val="nil"/>
        </w:pBdr>
        <w:spacing w:after="120"/>
        <w:ind w:left="1800" w:hanging="1800"/>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t>Proposing Dual Stack for 6G RAN Study</w:t>
      </w:r>
    </w:p>
    <w:p w14:paraId="52399174" w14:textId="7207E938" w:rsidR="009C1D78" w:rsidRPr="00C1084D" w:rsidRDefault="00000000">
      <w:pPr>
        <w:pBdr>
          <w:top w:val="nil"/>
          <w:left w:val="nil"/>
          <w:bottom w:val="nil"/>
          <w:right w:val="nil"/>
          <w:between w:val="nil"/>
        </w:pBdr>
        <w:spacing w:after="120"/>
        <w:ind w:left="1800" w:hanging="1800"/>
        <w:rPr>
          <w:rFonts w:ascii="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Discussion</w:t>
      </w:r>
    </w:p>
    <w:p w14:paraId="058E0202" w14:textId="77777777" w:rsidR="009C1D78" w:rsidRDefault="009C1D78">
      <w:pPr>
        <w:spacing w:after="120"/>
        <w:ind w:left="1985" w:hanging="1985"/>
        <w:rPr>
          <w:rFonts w:ascii="Arial" w:eastAsia="Arial" w:hAnsi="Arial" w:cs="Arial"/>
          <w:sz w:val="22"/>
          <w:szCs w:val="22"/>
        </w:rPr>
      </w:pPr>
    </w:p>
    <w:p w14:paraId="33EFCBA9" w14:textId="77777777" w:rsidR="009C1D78" w:rsidRDefault="00000000">
      <w:pPr>
        <w:pStyle w:val="Heading1"/>
        <w:pBdr>
          <w:top w:val="single" w:sz="12" w:space="6" w:color="000000"/>
        </w:pBdr>
      </w:pPr>
      <w:r>
        <w:t>1. Introduction</w:t>
      </w:r>
    </w:p>
    <w:p w14:paraId="1164F06F" w14:textId="77777777" w:rsidR="009C1D78" w:rsidRDefault="00000000">
      <w:pPr>
        <w:pBdr>
          <w:top w:val="nil"/>
          <w:left w:val="nil"/>
          <w:bottom w:val="nil"/>
          <w:right w:val="nil"/>
          <w:between w:val="nil"/>
        </w:pBdr>
        <w:ind w:left="100"/>
        <w:rPr>
          <w:rFonts w:ascii="Arial" w:eastAsia="Arial" w:hAnsi="Arial" w:cs="Arial"/>
        </w:rPr>
      </w:pPr>
      <w:r>
        <w:rPr>
          <w:rFonts w:ascii="Arial" w:eastAsia="Arial" w:hAnsi="Arial" w:cs="Arial"/>
        </w:rPr>
        <w:t>As mobile networks evolve toward 6G, ensuring interworking with existing generations is essential for seamless commercial connectivity services during the transition that usually takes considerable time due to the long lifecycle of legacy UEs. It is also important that the transition must have no impact on the existing stable production networks. At the time when 6G is standardized, it is anticipated that 4G and 5G mobile networks are still in operation in markets.</w:t>
      </w:r>
    </w:p>
    <w:p w14:paraId="68688439" w14:textId="77777777" w:rsidR="009C1D78" w:rsidRDefault="00000000">
      <w:pPr>
        <w:ind w:left="100"/>
        <w:rPr>
          <w:rFonts w:ascii="Arial" w:eastAsia="Arial" w:hAnsi="Arial" w:cs="Arial"/>
        </w:rPr>
      </w:pPr>
      <w:r>
        <w:rPr>
          <w:rFonts w:ascii="Arial" w:eastAsia="Arial" w:hAnsi="Arial" w:cs="Arial"/>
        </w:rPr>
        <w:t>According to GSMA’s report “The Mobile Economy 2025”, 4G continues to dominate with 58% of global connections in 2024, compared to 25% on 5G. By 2030, when 6G deployment is anticipated, over 50% of connections in certain regions (e.g. Eurasia) will still rely on 4G. Therefore, interworking with 4G should be considered alongside 5G in 6G standardization to enable service continuity across different generations.</w:t>
      </w:r>
    </w:p>
    <w:p w14:paraId="0CA57DDD" w14:textId="77777777" w:rsidR="009C1D78" w:rsidRDefault="00000000">
      <w:pPr>
        <w:pBdr>
          <w:top w:val="nil"/>
          <w:left w:val="nil"/>
          <w:bottom w:val="nil"/>
          <w:right w:val="nil"/>
          <w:between w:val="nil"/>
        </w:pBdr>
        <w:spacing w:after="0"/>
        <w:ind w:left="100"/>
        <w:rPr>
          <w:rFonts w:ascii="Arial" w:eastAsia="Arial" w:hAnsi="Arial" w:cs="Arial"/>
        </w:rPr>
      </w:pPr>
      <w:r>
        <w:rPr>
          <w:rFonts w:ascii="Arial" w:eastAsia="Arial" w:hAnsi="Arial" w:cs="Arial"/>
        </w:rPr>
        <w:t xml:space="preserve">While 5G-6G interworking was approved as a 6G study item (RP-251881) at RAN Plenary #108, the decision on 4G-6G interworking was deferred. This contribution proposes to study Dual Stack as part of the 6G study item: </w:t>
      </w:r>
    </w:p>
    <w:p w14:paraId="43DA4421" w14:textId="3C782383" w:rsidR="009C1D78" w:rsidRDefault="00000000">
      <w:pPr>
        <w:numPr>
          <w:ilvl w:val="0"/>
          <w:numId w:val="5"/>
        </w:numPr>
        <w:pBdr>
          <w:top w:val="nil"/>
          <w:left w:val="nil"/>
          <w:bottom w:val="nil"/>
          <w:right w:val="nil"/>
          <w:between w:val="nil"/>
        </w:pBdr>
        <w:spacing w:after="0"/>
        <w:ind w:left="900"/>
        <w:rPr>
          <w:rFonts w:ascii="Arial" w:eastAsia="Arial" w:hAnsi="Arial" w:cs="Arial"/>
        </w:rPr>
      </w:pPr>
      <w:r>
        <w:rPr>
          <w:rFonts w:ascii="Arial" w:eastAsia="Arial" w:hAnsi="Arial" w:cs="Arial"/>
        </w:rPr>
        <w:t xml:space="preserve">To support 4G-6G </w:t>
      </w:r>
      <w:r w:rsidR="009925AB">
        <w:rPr>
          <w:rFonts w:ascii="Arial" w:hAnsi="Arial" w:cs="Arial" w:hint="eastAsia"/>
        </w:rPr>
        <w:t xml:space="preserve">and 5G-6G </w:t>
      </w:r>
      <w:r>
        <w:rPr>
          <w:rFonts w:ascii="Arial" w:eastAsia="Arial" w:hAnsi="Arial" w:cs="Arial"/>
        </w:rPr>
        <w:t xml:space="preserve">interworking without </w:t>
      </w:r>
      <w:r w:rsidR="00041BE7">
        <w:rPr>
          <w:rFonts w:ascii="Arial" w:hAnsi="Arial" w:cs="Arial" w:hint="eastAsia"/>
        </w:rPr>
        <w:t xml:space="preserve">introducing additional impact </w:t>
      </w:r>
      <w:r>
        <w:rPr>
          <w:rFonts w:ascii="Arial" w:eastAsia="Arial" w:hAnsi="Arial" w:cs="Arial"/>
        </w:rPr>
        <w:t xml:space="preserve">on </w:t>
      </w:r>
      <w:r w:rsidR="00041BE7">
        <w:rPr>
          <w:rFonts w:ascii="Arial" w:hAnsi="Arial" w:cs="Arial" w:hint="eastAsia"/>
        </w:rPr>
        <w:t xml:space="preserve">the </w:t>
      </w:r>
      <w:r>
        <w:rPr>
          <w:rFonts w:ascii="Arial" w:eastAsia="Arial" w:hAnsi="Arial" w:cs="Arial"/>
        </w:rPr>
        <w:t xml:space="preserve">RAN. </w:t>
      </w:r>
      <w:r w:rsidR="00041BE7">
        <w:rPr>
          <w:rFonts w:ascii="Arial" w:hAnsi="Arial" w:cs="Arial" w:hint="eastAsia"/>
        </w:rPr>
        <w:t xml:space="preserve">It is noted </w:t>
      </w:r>
      <w:r w:rsidR="009925AB">
        <w:rPr>
          <w:rFonts w:ascii="Arial" w:hAnsi="Arial" w:cs="Arial" w:hint="eastAsia"/>
        </w:rPr>
        <w:t xml:space="preserve">that </w:t>
      </w:r>
      <w:r w:rsidR="00041BE7">
        <w:rPr>
          <w:rFonts w:ascii="Arial" w:hAnsi="Arial" w:cs="Arial" w:hint="eastAsia"/>
        </w:rPr>
        <w:t xml:space="preserve">SA1 has tentatively agreed on a </w:t>
      </w:r>
      <w:r w:rsidR="009925AB">
        <w:rPr>
          <w:rFonts w:ascii="Arial" w:hAnsi="Arial" w:cs="Arial" w:hint="eastAsia"/>
        </w:rPr>
        <w:t xml:space="preserve">6G-4G interworking </w:t>
      </w:r>
      <w:r>
        <w:rPr>
          <w:rFonts w:ascii="Arial" w:eastAsia="Arial" w:hAnsi="Arial" w:cs="Arial"/>
        </w:rPr>
        <w:t xml:space="preserve">requirement as part of 6G SI activities. </w:t>
      </w:r>
    </w:p>
    <w:p w14:paraId="27746C59" w14:textId="0F6AEDC0" w:rsidR="009C1D78" w:rsidRDefault="00000000">
      <w:pPr>
        <w:numPr>
          <w:ilvl w:val="0"/>
          <w:numId w:val="5"/>
        </w:numPr>
        <w:pBdr>
          <w:top w:val="nil"/>
          <w:left w:val="nil"/>
          <w:bottom w:val="nil"/>
          <w:right w:val="nil"/>
          <w:between w:val="nil"/>
        </w:pBdr>
        <w:spacing w:after="200"/>
        <w:ind w:left="900"/>
        <w:rPr>
          <w:rFonts w:ascii="Arial" w:eastAsia="Arial" w:hAnsi="Arial" w:cs="Arial"/>
        </w:rPr>
      </w:pPr>
      <w:r>
        <w:rPr>
          <w:rFonts w:ascii="Arial" w:eastAsia="Arial" w:hAnsi="Arial" w:cs="Arial"/>
        </w:rPr>
        <w:t xml:space="preserve">To enable </w:t>
      </w:r>
      <w:r w:rsidR="00041BE7">
        <w:rPr>
          <w:rFonts w:ascii="Arial" w:hAnsi="Arial" w:cs="Arial" w:hint="eastAsia"/>
        </w:rPr>
        <w:t xml:space="preserve">a </w:t>
      </w:r>
      <w:r>
        <w:rPr>
          <w:rFonts w:ascii="Arial" w:eastAsia="Arial" w:hAnsi="Arial" w:cs="Arial"/>
        </w:rPr>
        <w:t xml:space="preserve">gradual migration from 4G/5G to 6G without disrupting stable legacy production networks. </w:t>
      </w:r>
    </w:p>
    <w:p w14:paraId="386D5B50" w14:textId="5CA7E579" w:rsidR="009C1D78" w:rsidRDefault="00000000">
      <w:pPr>
        <w:pBdr>
          <w:top w:val="nil"/>
          <w:left w:val="nil"/>
          <w:bottom w:val="nil"/>
          <w:right w:val="nil"/>
          <w:between w:val="nil"/>
        </w:pBdr>
        <w:ind w:left="100"/>
        <w:rPr>
          <w:rFonts w:ascii="Arial" w:eastAsia="Arial" w:hAnsi="Arial" w:cs="Arial"/>
        </w:rPr>
      </w:pPr>
      <w:r>
        <w:rPr>
          <w:rFonts w:ascii="Arial" w:eastAsia="Arial" w:hAnsi="Arial" w:cs="Arial"/>
        </w:rPr>
        <w:t xml:space="preserve">Conventional interworking between 6G and </w:t>
      </w:r>
      <w:r w:rsidR="009925AB">
        <w:rPr>
          <w:rFonts w:ascii="Arial" w:hAnsi="Arial" w:cs="Arial" w:hint="eastAsia"/>
        </w:rPr>
        <w:t>legacy systems (</w:t>
      </w:r>
      <w:r>
        <w:rPr>
          <w:rFonts w:ascii="Arial" w:eastAsia="Arial" w:hAnsi="Arial" w:cs="Arial"/>
        </w:rPr>
        <w:t>5G and 4G</w:t>
      </w:r>
      <w:r w:rsidR="009925AB">
        <w:rPr>
          <w:rFonts w:ascii="Arial" w:hAnsi="Arial" w:cs="Arial" w:hint="eastAsia"/>
        </w:rPr>
        <w:t>)</w:t>
      </w:r>
      <w:r>
        <w:rPr>
          <w:rFonts w:ascii="Arial" w:eastAsia="Arial" w:hAnsi="Arial" w:cs="Arial"/>
        </w:rPr>
        <w:t xml:space="preserve"> would introduce significant complexity in 6G standardization and deployment. A 6G NodeB would need to support Xn, X2, and new intra-6G RAN interfaces (6G X). Alternatively, UEs could hand over from 6G to 5G and then to 4G using existing 4G-5G </w:t>
      </w:r>
      <w:r w:rsidR="00041BE7">
        <w:rPr>
          <w:rFonts w:ascii="Arial" w:hAnsi="Arial" w:cs="Arial" w:hint="eastAsia"/>
        </w:rPr>
        <w:t xml:space="preserve">mobility </w:t>
      </w:r>
      <w:r>
        <w:rPr>
          <w:rFonts w:ascii="Arial" w:eastAsia="Arial" w:hAnsi="Arial" w:cs="Arial"/>
        </w:rPr>
        <w:t xml:space="preserve">mechanisms, but this </w:t>
      </w:r>
      <w:r w:rsidR="00041BE7">
        <w:rPr>
          <w:rFonts w:ascii="Arial" w:hAnsi="Arial" w:cs="Arial" w:hint="eastAsia"/>
        </w:rPr>
        <w:t xml:space="preserve">approach </w:t>
      </w:r>
      <w:r>
        <w:rPr>
          <w:rFonts w:ascii="Arial" w:eastAsia="Arial" w:hAnsi="Arial" w:cs="Arial"/>
        </w:rPr>
        <w:t xml:space="preserve">does not address scenarios where operators </w:t>
      </w:r>
      <w:r w:rsidR="00041BE7">
        <w:rPr>
          <w:rFonts w:ascii="Arial" w:hAnsi="Arial" w:cs="Arial" w:hint="eastAsia"/>
        </w:rPr>
        <w:t xml:space="preserve">wish to </w:t>
      </w:r>
      <w:r>
        <w:rPr>
          <w:rFonts w:ascii="Arial" w:eastAsia="Arial" w:hAnsi="Arial" w:cs="Arial"/>
        </w:rPr>
        <w:t>transition directly from 4G to 6G.</w:t>
      </w:r>
    </w:p>
    <w:p w14:paraId="5654E2C1" w14:textId="7E1A9B18" w:rsidR="009C1D78" w:rsidRDefault="00000000">
      <w:pPr>
        <w:pBdr>
          <w:top w:val="nil"/>
          <w:left w:val="nil"/>
          <w:bottom w:val="nil"/>
          <w:right w:val="nil"/>
          <w:between w:val="nil"/>
        </w:pBdr>
        <w:ind w:left="100"/>
        <w:rPr>
          <w:rFonts w:ascii="Arial" w:eastAsia="Arial" w:hAnsi="Arial" w:cs="Arial"/>
        </w:rPr>
      </w:pPr>
      <w:r>
        <w:rPr>
          <w:rFonts w:ascii="Arial" w:eastAsia="Arial" w:hAnsi="Arial" w:cs="Arial"/>
        </w:rPr>
        <w:t xml:space="preserve">Dual Stack capable UEs </w:t>
      </w:r>
      <w:r w:rsidR="00041BE7">
        <w:rPr>
          <w:rFonts w:ascii="Arial" w:hAnsi="Arial" w:cs="Arial" w:hint="eastAsia"/>
        </w:rPr>
        <w:t>can</w:t>
      </w:r>
      <w:r>
        <w:rPr>
          <w:rFonts w:ascii="Arial" w:eastAsia="Arial" w:hAnsi="Arial" w:cs="Arial"/>
        </w:rPr>
        <w:t xml:space="preserve"> register with multiple generation networks</w:t>
      </w:r>
      <w:r w:rsidR="009925AB">
        <w:rPr>
          <w:rFonts w:ascii="Arial" w:hAnsi="Arial" w:cs="Arial" w:hint="eastAsia"/>
        </w:rPr>
        <w:t xml:space="preserve"> </w:t>
      </w:r>
      <w:r w:rsidR="00041BE7">
        <w:rPr>
          <w:rFonts w:ascii="Arial" w:hAnsi="Arial" w:cs="Arial" w:hint="eastAsia"/>
        </w:rPr>
        <w:t xml:space="preserve">simultaneously </w:t>
      </w:r>
      <w:r>
        <w:rPr>
          <w:rFonts w:ascii="Arial" w:eastAsia="Arial" w:hAnsi="Arial" w:cs="Arial"/>
        </w:rPr>
        <w:t xml:space="preserve">and maintain </w:t>
      </w:r>
      <w:r w:rsidR="00041BE7">
        <w:rPr>
          <w:rFonts w:ascii="Arial" w:hAnsi="Arial" w:cs="Arial" w:hint="eastAsia"/>
        </w:rPr>
        <w:t>parallel</w:t>
      </w:r>
      <w:r>
        <w:rPr>
          <w:rFonts w:ascii="Arial" w:eastAsia="Arial" w:hAnsi="Arial" w:cs="Arial"/>
        </w:rPr>
        <w:t xml:space="preserve"> connections, enabling seamless connection switching without service interruption during mobility. This approach can </w:t>
      </w:r>
      <w:r w:rsidR="00041BE7">
        <w:rPr>
          <w:rFonts w:ascii="Arial" w:hAnsi="Arial" w:cs="Arial" w:hint="eastAsia"/>
        </w:rPr>
        <w:t xml:space="preserve">remove the need </w:t>
      </w:r>
      <w:r w:rsidR="009925AB">
        <w:rPr>
          <w:rFonts w:ascii="Arial" w:hAnsi="Arial" w:cs="Arial" w:hint="eastAsia"/>
        </w:rPr>
        <w:t xml:space="preserve">to upgrade legacy infrastructure for </w:t>
      </w:r>
      <w:r w:rsidR="00041BE7">
        <w:rPr>
          <w:rFonts w:ascii="Arial" w:hAnsi="Arial" w:cs="Arial" w:hint="eastAsia"/>
        </w:rPr>
        <w:t xml:space="preserve">6G </w:t>
      </w:r>
      <w:r w:rsidR="009925AB">
        <w:rPr>
          <w:rFonts w:ascii="Arial" w:hAnsi="Arial" w:cs="Arial" w:hint="eastAsia"/>
        </w:rPr>
        <w:t>interworking</w:t>
      </w:r>
      <w:r>
        <w:rPr>
          <w:rFonts w:ascii="Arial" w:eastAsia="Arial" w:hAnsi="Arial" w:cs="Arial"/>
        </w:rPr>
        <w:t xml:space="preserve"> </w:t>
      </w:r>
      <w:r w:rsidR="00041BE7">
        <w:rPr>
          <w:rFonts w:ascii="Arial" w:hAnsi="Arial" w:cs="Arial" w:hint="eastAsia"/>
        </w:rPr>
        <w:t xml:space="preserve">as </w:t>
      </w:r>
      <w:r>
        <w:rPr>
          <w:rFonts w:ascii="Arial" w:eastAsia="Arial" w:hAnsi="Arial" w:cs="Arial"/>
        </w:rPr>
        <w:t xml:space="preserve">it avoids direct </w:t>
      </w:r>
      <w:r w:rsidR="00041BE7">
        <w:rPr>
          <w:rFonts w:ascii="Arial" w:hAnsi="Arial" w:cs="Arial" w:hint="eastAsia"/>
        </w:rPr>
        <w:t>cross-generation interfaces at RAN level</w:t>
      </w:r>
      <w:r>
        <w:rPr>
          <w:rFonts w:ascii="Arial" w:eastAsia="Arial" w:hAnsi="Arial" w:cs="Arial"/>
        </w:rPr>
        <w:t>.</w:t>
      </w:r>
    </w:p>
    <w:p w14:paraId="118BE606" w14:textId="76A24659" w:rsidR="009C1D78" w:rsidRDefault="00041BE7">
      <w:pPr>
        <w:pBdr>
          <w:top w:val="nil"/>
          <w:left w:val="nil"/>
          <w:bottom w:val="nil"/>
          <w:right w:val="nil"/>
          <w:between w:val="nil"/>
        </w:pBdr>
        <w:ind w:left="100"/>
        <w:rPr>
          <w:rFonts w:ascii="Arial" w:eastAsia="Arial" w:hAnsi="Arial" w:cs="Arial"/>
        </w:rPr>
      </w:pPr>
      <w:r>
        <w:rPr>
          <w:rFonts w:ascii="Arial" w:hAnsi="Arial" w:cs="Arial" w:hint="eastAsia"/>
        </w:rPr>
        <w:t xml:space="preserve">Although </w:t>
      </w:r>
      <w:r>
        <w:rPr>
          <w:rFonts w:ascii="Arial" w:eastAsia="Arial" w:hAnsi="Arial" w:cs="Arial"/>
        </w:rPr>
        <w:t xml:space="preserve">Dual Stack </w:t>
      </w:r>
      <w:r>
        <w:rPr>
          <w:rFonts w:ascii="Arial" w:hAnsi="Arial" w:cs="Arial" w:hint="eastAsia"/>
        </w:rPr>
        <w:t xml:space="preserve">introduces additional </w:t>
      </w:r>
      <w:r>
        <w:rPr>
          <w:rFonts w:ascii="Arial" w:eastAsia="Arial" w:hAnsi="Arial" w:cs="Arial"/>
        </w:rPr>
        <w:t>complexity</w:t>
      </w:r>
      <w:r>
        <w:rPr>
          <w:rFonts w:ascii="Arial" w:hAnsi="Arial" w:cs="Arial" w:hint="eastAsia"/>
        </w:rPr>
        <w:t xml:space="preserve"> at the UE side</w:t>
      </w:r>
      <w:r>
        <w:rPr>
          <w:rFonts w:ascii="Arial" w:eastAsia="Arial" w:hAnsi="Arial" w:cs="Arial"/>
        </w:rPr>
        <w:t xml:space="preserve">, somewhat similar techniques are already </w:t>
      </w:r>
      <w:r>
        <w:rPr>
          <w:rFonts w:ascii="Arial" w:hAnsi="Arial" w:cs="Arial" w:hint="eastAsia"/>
        </w:rPr>
        <w:t xml:space="preserve">widely </w:t>
      </w:r>
      <w:r>
        <w:rPr>
          <w:rFonts w:ascii="Arial" w:eastAsia="Arial" w:hAnsi="Arial" w:cs="Arial"/>
        </w:rPr>
        <w:t xml:space="preserve">adopted in commercial multi-SIM devices. </w:t>
      </w:r>
      <w:r>
        <w:rPr>
          <w:rFonts w:ascii="Arial" w:hAnsi="Arial" w:cs="Arial" w:hint="eastAsia"/>
        </w:rPr>
        <w:t xml:space="preserve">Overall, this approach </w:t>
      </w:r>
      <w:r>
        <w:rPr>
          <w:rFonts w:ascii="Arial" w:eastAsia="Arial" w:hAnsi="Arial" w:cs="Arial"/>
        </w:rPr>
        <w:t xml:space="preserve">is expected </w:t>
      </w:r>
      <w:r>
        <w:rPr>
          <w:rFonts w:ascii="Arial" w:hAnsi="Arial" w:cs="Arial" w:hint="eastAsia"/>
        </w:rPr>
        <w:t xml:space="preserve">to </w:t>
      </w:r>
      <w:r>
        <w:rPr>
          <w:rFonts w:ascii="Arial" w:eastAsia="Arial" w:hAnsi="Arial" w:cs="Arial"/>
        </w:rPr>
        <w:t>simplify standardization by avoiding interface-heavy designs</w:t>
      </w:r>
      <w:r>
        <w:rPr>
          <w:rFonts w:ascii="Arial" w:hAnsi="Arial" w:cs="Arial" w:hint="eastAsia"/>
        </w:rPr>
        <w:t xml:space="preserve"> and to support a </w:t>
      </w:r>
      <w:r>
        <w:rPr>
          <w:rFonts w:ascii="Arial" w:eastAsia="Arial" w:hAnsi="Arial" w:cs="Arial"/>
        </w:rPr>
        <w:t>more robust and simpler 6G design.</w:t>
      </w:r>
    </w:p>
    <w:p w14:paraId="3F043AD6" w14:textId="77777777" w:rsidR="009C1D78" w:rsidRDefault="009C1D78">
      <w:pPr>
        <w:pBdr>
          <w:top w:val="nil"/>
          <w:left w:val="nil"/>
          <w:bottom w:val="nil"/>
          <w:right w:val="nil"/>
          <w:between w:val="nil"/>
        </w:pBdr>
        <w:ind w:left="100"/>
        <w:rPr>
          <w:rFonts w:ascii="Arial" w:eastAsia="Arial" w:hAnsi="Arial" w:cs="Arial"/>
        </w:rPr>
      </w:pPr>
    </w:p>
    <w:p w14:paraId="20520899" w14:textId="77777777" w:rsidR="009C1D78" w:rsidRDefault="00000000">
      <w:pPr>
        <w:pStyle w:val="Heading1"/>
        <w:rPr>
          <w:sz w:val="20"/>
          <w:szCs w:val="20"/>
        </w:rPr>
      </w:pPr>
      <w:bookmarkStart w:id="5" w:name="_heading=h.uadelg6moce1" w:colFirst="0" w:colLast="0"/>
      <w:bookmarkEnd w:id="5"/>
      <w:r>
        <w:t>2. Discussion</w:t>
      </w:r>
    </w:p>
    <w:p w14:paraId="06209BCB" w14:textId="77777777" w:rsidR="009C1D78" w:rsidRDefault="00000000">
      <w:pPr>
        <w:pStyle w:val="Heading2"/>
      </w:pPr>
      <w:bookmarkStart w:id="6" w:name="_heading=h.lpvz2s3xpo6e" w:colFirst="0" w:colLast="0"/>
      <w:bookmarkEnd w:id="6"/>
      <w:r>
        <w:t>2.1 Study Item Objectives</w:t>
      </w:r>
    </w:p>
    <w:p w14:paraId="2C0575CB" w14:textId="77777777" w:rsidR="009C1D78" w:rsidRDefault="00000000">
      <w:pPr>
        <w:rPr>
          <w:rFonts w:ascii="Arial" w:eastAsia="Arial" w:hAnsi="Arial" w:cs="Arial"/>
        </w:rPr>
      </w:pPr>
      <w:r>
        <w:rPr>
          <w:rFonts w:ascii="Arial" w:eastAsia="Arial" w:hAnsi="Arial" w:cs="Arial"/>
        </w:rPr>
        <w:t>The following topics are proposed for study. As Dual Stack is related to UE, RAN, and Core, collaboration between RAN and SA WGs is required.</w:t>
      </w:r>
    </w:p>
    <w:p w14:paraId="6884A551" w14:textId="77777777" w:rsidR="009C1D78" w:rsidRDefault="00000000">
      <w:pPr>
        <w:rPr>
          <w:rFonts w:ascii="Arial" w:eastAsia="Arial" w:hAnsi="Arial" w:cs="Arial"/>
        </w:rPr>
      </w:pPr>
      <w:r>
        <w:rPr>
          <w:rFonts w:ascii="Arial" w:eastAsia="Arial" w:hAnsi="Arial" w:cs="Arial"/>
        </w:rPr>
        <w:lastRenderedPageBreak/>
        <w:t>1) Use Cases</w:t>
      </w:r>
    </w:p>
    <w:p w14:paraId="43C6F396" w14:textId="77777777" w:rsidR="009C1D78" w:rsidRDefault="00000000">
      <w:pPr>
        <w:rPr>
          <w:rFonts w:ascii="Arial" w:eastAsia="Arial" w:hAnsi="Arial" w:cs="Arial"/>
        </w:rPr>
      </w:pPr>
      <w:r>
        <w:rPr>
          <w:rFonts w:ascii="Arial" w:eastAsia="Arial" w:hAnsi="Arial" w:cs="Arial"/>
        </w:rPr>
        <w:t>The study will identify and analyze the following use cases utilizing Dual Stack.</w:t>
      </w:r>
    </w:p>
    <w:p w14:paraId="427B8F31" w14:textId="77777777" w:rsidR="009C1D78" w:rsidRDefault="00000000">
      <w:pPr>
        <w:numPr>
          <w:ilvl w:val="0"/>
          <w:numId w:val="4"/>
        </w:numPr>
        <w:spacing w:after="0"/>
        <w:rPr>
          <w:rFonts w:ascii="Arial" w:eastAsia="Arial" w:hAnsi="Arial" w:cs="Arial"/>
        </w:rPr>
      </w:pPr>
      <w:r>
        <w:rPr>
          <w:rFonts w:ascii="Arial" w:eastAsia="Arial" w:hAnsi="Arial" w:cs="Arial"/>
        </w:rPr>
        <w:t xml:space="preserve">Network migration: How Dual Stack can facilitate smooth transition during 4G/5G to 6G network evolution, supporting scenarios with overlapping or disjoint coverage between different generations. </w:t>
      </w:r>
    </w:p>
    <w:p w14:paraId="19313281" w14:textId="77777777" w:rsidR="009C1D78" w:rsidRDefault="00000000">
      <w:pPr>
        <w:numPr>
          <w:ilvl w:val="0"/>
          <w:numId w:val="4"/>
        </w:numPr>
        <w:spacing w:after="0"/>
        <w:rPr>
          <w:rFonts w:ascii="Arial" w:eastAsia="Arial" w:hAnsi="Arial" w:cs="Arial"/>
        </w:rPr>
      </w:pPr>
      <w:r>
        <w:rPr>
          <w:rFonts w:ascii="Arial" w:eastAsia="Arial" w:hAnsi="Arial" w:cs="Arial"/>
        </w:rPr>
        <w:t xml:space="preserve">Handover mechanisms: How Dual Stack can be used for UEs to switch between networks seamlessly as they move across coverage areas or when the serving network’s signal weakens. </w:t>
      </w:r>
    </w:p>
    <w:p w14:paraId="0F6B4154" w14:textId="77777777" w:rsidR="009C1D78" w:rsidRDefault="00000000">
      <w:pPr>
        <w:numPr>
          <w:ilvl w:val="0"/>
          <w:numId w:val="4"/>
        </w:numPr>
        <w:rPr>
          <w:rFonts w:ascii="Arial" w:eastAsia="Arial" w:hAnsi="Arial" w:cs="Arial"/>
        </w:rPr>
      </w:pPr>
      <w:r>
        <w:rPr>
          <w:rFonts w:ascii="Arial" w:eastAsia="Arial" w:hAnsi="Arial" w:cs="Arial"/>
        </w:rPr>
        <w:t xml:space="preserve">Dual connectivity utilization: How simultaneous dual connections can be leveraged to enhance throughput, improve reliability, or select the most suitable connection based on application requirements. ATSS(Access Traffic Steering, Switching, and Splitting) features may also be considered. </w:t>
      </w:r>
    </w:p>
    <w:p w14:paraId="20B5EB6A" w14:textId="77777777" w:rsidR="009C1D78" w:rsidRDefault="00000000">
      <w:pPr>
        <w:rPr>
          <w:rFonts w:ascii="Arial" w:eastAsia="Arial" w:hAnsi="Arial" w:cs="Arial"/>
        </w:rPr>
      </w:pPr>
      <w:r>
        <w:rPr>
          <w:rFonts w:ascii="Arial" w:eastAsia="Arial" w:hAnsi="Arial" w:cs="Arial"/>
        </w:rPr>
        <w:t>2) Network Architecture for Dual Stack</w:t>
      </w:r>
    </w:p>
    <w:p w14:paraId="7E150850" w14:textId="77777777" w:rsidR="009C1D78" w:rsidRDefault="00000000">
      <w:pPr>
        <w:rPr>
          <w:rFonts w:ascii="Arial" w:eastAsia="Arial" w:hAnsi="Arial" w:cs="Arial"/>
        </w:rPr>
      </w:pPr>
      <w:r>
        <w:rPr>
          <w:rFonts w:ascii="Arial" w:eastAsia="Arial" w:hAnsi="Arial" w:cs="Arial"/>
        </w:rPr>
        <w:t xml:space="preserve">The study will target defining a reference network architecture to support Dual Stack operation. It will identify the required functionalities for RAN, Core, and UE as well as analyze the impact on relevant interfaces. </w:t>
      </w:r>
    </w:p>
    <w:p w14:paraId="07ECD7DB" w14:textId="77777777" w:rsidR="009C1D78" w:rsidRDefault="00000000">
      <w:pPr>
        <w:rPr>
          <w:rFonts w:ascii="Arial" w:eastAsia="Arial" w:hAnsi="Arial" w:cs="Arial"/>
        </w:rPr>
      </w:pPr>
      <w:r>
        <w:rPr>
          <w:rFonts w:ascii="Arial" w:eastAsia="Arial" w:hAnsi="Arial" w:cs="Arial"/>
        </w:rPr>
        <w:t>3) Features and Procedures</w:t>
      </w:r>
    </w:p>
    <w:p w14:paraId="2421AA87" w14:textId="77777777" w:rsidR="009C1D78" w:rsidRDefault="00000000">
      <w:pPr>
        <w:rPr>
          <w:rFonts w:ascii="Arial" w:eastAsia="Arial" w:hAnsi="Arial" w:cs="Arial"/>
        </w:rPr>
      </w:pPr>
      <w:r>
        <w:rPr>
          <w:rFonts w:ascii="Arial" w:eastAsia="Arial" w:hAnsi="Arial" w:cs="Arial"/>
        </w:rPr>
        <w:t xml:space="preserve">The study will identify features and define necessary procedures to support the identified use cases in 6G. For example, including: </w:t>
      </w:r>
    </w:p>
    <w:p w14:paraId="3A97B8D6" w14:textId="77777777" w:rsidR="009C1D78" w:rsidRDefault="00000000">
      <w:pPr>
        <w:numPr>
          <w:ilvl w:val="0"/>
          <w:numId w:val="1"/>
        </w:numPr>
        <w:spacing w:after="0"/>
        <w:rPr>
          <w:rFonts w:ascii="Arial" w:eastAsia="Arial" w:hAnsi="Arial" w:cs="Arial"/>
        </w:rPr>
      </w:pPr>
      <w:r>
        <w:rPr>
          <w:rFonts w:ascii="Arial" w:eastAsia="Arial" w:hAnsi="Arial" w:cs="Arial"/>
        </w:rPr>
        <w:t>Seamless service continuity through network-level or application-level handover</w:t>
      </w:r>
    </w:p>
    <w:p w14:paraId="699AC1A2" w14:textId="77777777" w:rsidR="009C1D78" w:rsidRDefault="00000000">
      <w:pPr>
        <w:numPr>
          <w:ilvl w:val="0"/>
          <w:numId w:val="1"/>
        </w:numPr>
        <w:rPr>
          <w:rFonts w:ascii="Arial" w:eastAsia="Arial" w:hAnsi="Arial" w:cs="Arial"/>
        </w:rPr>
      </w:pPr>
      <w:r>
        <w:rPr>
          <w:rFonts w:ascii="Arial" w:eastAsia="Arial" w:hAnsi="Arial" w:cs="Arial"/>
        </w:rPr>
        <w:t>Uplink and downlink traffic steering, switching, splitting, duplicating functionality</w:t>
      </w:r>
    </w:p>
    <w:p w14:paraId="71034029" w14:textId="77777777" w:rsidR="009C1D78" w:rsidRDefault="00000000">
      <w:pPr>
        <w:rPr>
          <w:rFonts w:ascii="Arial" w:eastAsia="Arial" w:hAnsi="Arial" w:cs="Arial"/>
        </w:rPr>
      </w:pPr>
      <w:r>
        <w:rPr>
          <w:rFonts w:ascii="Arial" w:eastAsia="Arial" w:hAnsi="Arial" w:cs="Arial"/>
        </w:rPr>
        <w:t>4) Evaluation and Recommendation</w:t>
      </w:r>
    </w:p>
    <w:p w14:paraId="24C15CB5" w14:textId="77777777" w:rsidR="009C1D78" w:rsidRDefault="00000000">
      <w:pPr>
        <w:rPr>
          <w:rFonts w:ascii="Arial" w:eastAsia="Arial" w:hAnsi="Arial" w:cs="Arial"/>
        </w:rPr>
      </w:pPr>
      <w:r>
        <w:rPr>
          <w:rFonts w:ascii="Arial" w:eastAsia="Arial" w:hAnsi="Arial" w:cs="Arial"/>
        </w:rPr>
        <w:t xml:space="preserve">The study will evaluate the feasibility and performance of Dual Stack approach as an alternative solution for interworking between 4G and 6G. Additionally, the study will assess whether this approach can be extended to other scenarios, such as 5G-6G interworking, NTN-6G integration, or non-3GPP-6G interworking, and provide recommendations accordingly. </w:t>
      </w:r>
    </w:p>
    <w:p w14:paraId="290E5051" w14:textId="77777777" w:rsidR="009C1D78" w:rsidRDefault="009C1D78">
      <w:pPr>
        <w:rPr>
          <w:rFonts w:ascii="Arial" w:eastAsia="Arial" w:hAnsi="Arial" w:cs="Arial"/>
        </w:rPr>
      </w:pPr>
    </w:p>
    <w:p w14:paraId="252BEE9F" w14:textId="77777777" w:rsidR="009C1D78" w:rsidRDefault="00000000">
      <w:pPr>
        <w:pStyle w:val="Heading2"/>
      </w:pPr>
      <w:bookmarkStart w:id="7" w:name="_heading=h.iwqtw1t8yqs3" w:colFirst="0" w:colLast="0"/>
      <w:bookmarkEnd w:id="7"/>
      <w:r>
        <w:t>2.2 Example Architecture Enabling Dual Stack Operation</w:t>
      </w:r>
    </w:p>
    <w:p w14:paraId="216E1045" w14:textId="77777777" w:rsidR="009C1D78" w:rsidRDefault="00000000">
      <w:pPr>
        <w:rPr>
          <w:rFonts w:ascii="Arial" w:eastAsia="Arial" w:hAnsi="Arial" w:cs="Arial"/>
        </w:rPr>
      </w:pPr>
      <w:r>
        <w:rPr>
          <w:rFonts w:ascii="Arial" w:eastAsia="Arial" w:hAnsi="Arial" w:cs="Arial"/>
        </w:rPr>
        <w:t>Two representative network deployment scenarios are illustrated in Figure 1. The figure shows combinations of  4G&amp;6G, and 5G&amp;6G, which are intended to capture practical deployment conditions expected during the migration from legacy networks to 6G. The concept can be extended to any combination of two or multiple networks.</w:t>
      </w:r>
    </w:p>
    <w:p w14:paraId="1672FDFC" w14:textId="77777777" w:rsidR="009C1D78" w:rsidRDefault="00000000">
      <w:pPr>
        <w:rPr>
          <w:rFonts w:ascii="Arial" w:eastAsia="Arial" w:hAnsi="Arial" w:cs="Arial"/>
        </w:rPr>
      </w:pPr>
      <w:r>
        <w:rPr>
          <w:rFonts w:ascii="Arial" w:eastAsia="Arial" w:hAnsi="Arial" w:cs="Arial"/>
        </w:rPr>
        <w:t>In both scenarios (Figure 1), a dual-stack capable UE may separately register with each network (e.g., 4G or 5G, and 6G). This allows the UE to operate in either dual-registration mode or single-registration mode at any given time, depending on operator policy, subscription configuration, or the availability of each network.</w:t>
      </w:r>
    </w:p>
    <w:p w14:paraId="54867AFF" w14:textId="77777777" w:rsidR="009C1D78" w:rsidRDefault="009C1D78">
      <w:pPr>
        <w:rPr>
          <w:rFonts w:ascii="Arial" w:eastAsia="Arial" w:hAnsi="Arial" w:cs="Arial"/>
        </w:rPr>
      </w:pPr>
    </w:p>
    <w:p w14:paraId="4629694B" w14:textId="77777777" w:rsidR="009C1D78" w:rsidRDefault="00000000">
      <w:pPr>
        <w:jc w:val="center"/>
        <w:rPr>
          <w:rFonts w:ascii="Arial" w:eastAsia="Arial" w:hAnsi="Arial" w:cs="Arial"/>
        </w:rPr>
      </w:pPr>
      <w:r>
        <w:rPr>
          <w:rFonts w:ascii="Arial" w:eastAsia="Arial" w:hAnsi="Arial" w:cs="Arial"/>
          <w:noProof/>
        </w:rPr>
        <w:drawing>
          <wp:inline distT="114300" distB="114300" distL="114300" distR="114300" wp14:anchorId="55F9B0C0" wp14:editId="66FE9475">
            <wp:extent cx="1276033" cy="2117054"/>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276033" cy="2117054"/>
                    </a:xfrm>
                    <a:prstGeom prst="rect">
                      <a:avLst/>
                    </a:prstGeom>
                    <a:ln/>
                  </pic:spPr>
                </pic:pic>
              </a:graphicData>
            </a:graphic>
          </wp:inline>
        </w:drawing>
      </w:r>
      <w:r>
        <w:rPr>
          <w:rFonts w:ascii="Arial" w:eastAsia="Arial" w:hAnsi="Arial" w:cs="Arial"/>
        </w:rPr>
        <w:t xml:space="preserve">                                         </w:t>
      </w:r>
      <w:r>
        <w:rPr>
          <w:rFonts w:ascii="Arial" w:eastAsia="Arial" w:hAnsi="Arial" w:cs="Arial"/>
          <w:noProof/>
        </w:rPr>
        <w:drawing>
          <wp:inline distT="114300" distB="114300" distL="114300" distR="114300" wp14:anchorId="4F923D1F" wp14:editId="383FA854">
            <wp:extent cx="1714183" cy="2101737"/>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714183" cy="2101737"/>
                    </a:xfrm>
                    <a:prstGeom prst="rect">
                      <a:avLst/>
                    </a:prstGeom>
                    <a:ln/>
                  </pic:spPr>
                </pic:pic>
              </a:graphicData>
            </a:graphic>
          </wp:inline>
        </w:drawing>
      </w:r>
    </w:p>
    <w:p w14:paraId="3DB94839" w14:textId="77777777" w:rsidR="009C1D78" w:rsidRDefault="00000000">
      <w:pPr>
        <w:jc w:val="center"/>
        <w:rPr>
          <w:rFonts w:ascii="Arial" w:eastAsia="Arial" w:hAnsi="Arial" w:cs="Arial"/>
        </w:rPr>
      </w:pPr>
      <w:r>
        <w:rPr>
          <w:rFonts w:ascii="Arial" w:eastAsia="Arial" w:hAnsi="Arial" w:cs="Arial"/>
        </w:rPr>
        <w:t>Figure 1.</w:t>
      </w:r>
    </w:p>
    <w:p w14:paraId="081494B8" w14:textId="77777777" w:rsidR="009C1D78" w:rsidRDefault="00000000">
      <w:pPr>
        <w:rPr>
          <w:rFonts w:ascii="Arial" w:eastAsia="Arial" w:hAnsi="Arial" w:cs="Arial"/>
        </w:rPr>
      </w:pPr>
      <w:r>
        <w:rPr>
          <w:rFonts w:ascii="Arial" w:eastAsia="Arial" w:hAnsi="Arial" w:cs="Arial"/>
        </w:rPr>
        <w:lastRenderedPageBreak/>
        <w:t>(a) Dual-stack UEs with two independent networks            (b) Dual-stack UEs with two associated networks</w:t>
      </w:r>
    </w:p>
    <w:p w14:paraId="1899FA70" w14:textId="77777777" w:rsidR="009C1D78" w:rsidRDefault="009C1D78">
      <w:pPr>
        <w:rPr>
          <w:rFonts w:ascii="Arial" w:eastAsia="Arial" w:hAnsi="Arial" w:cs="Arial"/>
        </w:rPr>
      </w:pPr>
    </w:p>
    <w:p w14:paraId="662958E0" w14:textId="77777777" w:rsidR="009C1D78" w:rsidRDefault="00000000">
      <w:pPr>
        <w:rPr>
          <w:rFonts w:ascii="Arial" w:eastAsia="Arial" w:hAnsi="Arial" w:cs="Arial"/>
        </w:rPr>
      </w:pPr>
      <w:r>
        <w:rPr>
          <w:rFonts w:ascii="Arial" w:eastAsia="Arial" w:hAnsi="Arial" w:cs="Arial"/>
        </w:rPr>
        <w:t xml:space="preserve">In Figure 1(a), a dual-stack capable UE is independently served by two separate networks (e.g., 4G and 6G), each providing its distinct IP address. This model represents scenarios where networks are deployed and operated independently with distinct core network anchors. Dual stack operation allows the UE to maintain concurrent registrations, enabling seamless service continuity at the application layer. </w:t>
      </w:r>
    </w:p>
    <w:p w14:paraId="5B43806F" w14:textId="77777777" w:rsidR="009C1D78" w:rsidRDefault="00000000">
      <w:pPr>
        <w:rPr>
          <w:rFonts w:ascii="Arial" w:eastAsia="Arial" w:hAnsi="Arial" w:cs="Arial"/>
        </w:rPr>
      </w:pPr>
      <w:r>
        <w:rPr>
          <w:rFonts w:ascii="Arial" w:eastAsia="Arial" w:hAnsi="Arial" w:cs="Arial"/>
        </w:rPr>
        <w:t xml:space="preserve">In Figure 1(b), the two networks share a common IP anchor, e.g., UPF, acting as the user plan anchor. In this model, the dual stack capable UE is assigned a single IP address that is valid across both networks while maintaining independent control plane connections. This approach does not change IP addresses while switching networks and prevents session disruption for applications. </w:t>
      </w:r>
    </w:p>
    <w:p w14:paraId="47A31437" w14:textId="77777777" w:rsidR="009C1D78" w:rsidRDefault="00000000">
      <w:pPr>
        <w:rPr>
          <w:rFonts w:ascii="Arial" w:eastAsia="Arial" w:hAnsi="Arial" w:cs="Arial"/>
        </w:rPr>
      </w:pPr>
      <w:r>
        <w:rPr>
          <w:rFonts w:ascii="Arial" w:eastAsia="Arial" w:hAnsi="Arial" w:cs="Arial"/>
        </w:rPr>
        <w:t>Depending on operator policy, subscription configuration, and network availability or status, the UE should be able to dynamically select the most suitable connection for data transmission at any given moment. The selection may also be influenced by application requirements. For example, a network throughput testing application may mandate the use of a specific network, while normal traffic can be balanced or duplicated across both connections. To optimize power consumption, UEs may also be configured to activate dual connections only during mobility events or when switching between networks is required.</w:t>
      </w:r>
    </w:p>
    <w:p w14:paraId="564B5F6A" w14:textId="77777777" w:rsidR="009C1D78" w:rsidRDefault="009C1D78">
      <w:pPr>
        <w:rPr>
          <w:rFonts w:ascii="Arial" w:eastAsia="Arial" w:hAnsi="Arial" w:cs="Arial"/>
        </w:rPr>
      </w:pPr>
    </w:p>
    <w:p w14:paraId="249852C1" w14:textId="77777777" w:rsidR="009C1D78" w:rsidRDefault="00000000">
      <w:pPr>
        <w:pStyle w:val="Heading2"/>
      </w:pPr>
      <w:bookmarkStart w:id="8" w:name="_heading=h.3bkss3m48yj4" w:colFirst="0" w:colLast="0"/>
      <w:bookmarkEnd w:id="8"/>
      <w:r>
        <w:t>2.3 Collaboration with SA</w:t>
      </w:r>
    </w:p>
    <w:p w14:paraId="02AB8983" w14:textId="77777777" w:rsidR="009C1D78" w:rsidRDefault="00000000">
      <w:pPr>
        <w:rPr>
          <w:rFonts w:ascii="Arial" w:eastAsia="Arial" w:hAnsi="Arial" w:cs="Arial"/>
        </w:rPr>
      </w:pPr>
      <w:r>
        <w:rPr>
          <w:rFonts w:ascii="Arial" w:eastAsia="Arial" w:hAnsi="Arial" w:cs="Arial"/>
        </w:rPr>
        <w:t>As Dual Stack involves Core Network functions, as discussed in clause 2.2, it is recommended that RAN initiate a liaison request to SA to study 4G-6G interworking at the Core level.</w:t>
      </w:r>
    </w:p>
    <w:p w14:paraId="09C72070" w14:textId="77777777" w:rsidR="009C1D78" w:rsidRDefault="00000000">
      <w:pPr>
        <w:rPr>
          <w:rFonts w:ascii="Arial" w:eastAsia="Arial" w:hAnsi="Arial" w:cs="Arial"/>
        </w:rPr>
      </w:pPr>
      <w:r>
        <w:rPr>
          <w:rFonts w:ascii="Arial" w:eastAsia="Arial" w:hAnsi="Arial" w:cs="Arial"/>
        </w:rPr>
        <w:t xml:space="preserve"> </w:t>
      </w:r>
    </w:p>
    <w:p w14:paraId="373424DC" w14:textId="77777777" w:rsidR="009C1D78" w:rsidRDefault="00000000">
      <w:pPr>
        <w:pStyle w:val="Heading1"/>
        <w:pBdr>
          <w:top w:val="single" w:sz="12" w:space="1" w:color="000000"/>
        </w:pBdr>
      </w:pPr>
      <w:r>
        <w:t>3. Conclusion</w:t>
      </w:r>
    </w:p>
    <w:p w14:paraId="6676D0EB" w14:textId="4F8EB143" w:rsidR="009C1D78" w:rsidRDefault="00000000">
      <w:pPr>
        <w:numPr>
          <w:ilvl w:val="0"/>
          <w:numId w:val="2"/>
        </w:numPr>
        <w:tabs>
          <w:tab w:val="left" w:pos="1701"/>
        </w:tabs>
        <w:spacing w:after="120" w:line="259" w:lineRule="auto"/>
        <w:jc w:val="both"/>
        <w:rPr>
          <w:rFonts w:ascii="Aptos" w:eastAsia="Aptos" w:hAnsi="Aptos" w:cs="Aptos"/>
          <w:sz w:val="24"/>
          <w:szCs w:val="24"/>
        </w:rPr>
      </w:pPr>
      <w:r>
        <w:rPr>
          <w:rFonts w:ascii="Arial" w:eastAsia="Arial" w:hAnsi="Arial" w:cs="Arial"/>
          <w:b/>
          <w:i/>
        </w:rPr>
        <w:t>RAN shall initiate a study on Dual Stack as part of the 6G Study to address 4G-6G</w:t>
      </w:r>
      <w:r w:rsidR="00022D8E">
        <w:rPr>
          <w:rFonts w:ascii="Arial" w:hAnsi="Arial" w:cs="Arial" w:hint="eastAsia"/>
          <w:b/>
          <w:i/>
        </w:rPr>
        <w:t xml:space="preserve"> and 5G-6G</w:t>
      </w:r>
      <w:r>
        <w:rPr>
          <w:rFonts w:ascii="Arial" w:eastAsia="Arial" w:hAnsi="Arial" w:cs="Arial"/>
          <w:b/>
          <w:i/>
        </w:rPr>
        <w:t xml:space="preserve"> interworking without impacting </w:t>
      </w:r>
      <w:r w:rsidR="00022D8E">
        <w:rPr>
          <w:rFonts w:ascii="Arial" w:hAnsi="Arial" w:cs="Arial" w:hint="eastAsia"/>
          <w:b/>
          <w:i/>
        </w:rPr>
        <w:t>RAN</w:t>
      </w:r>
      <w:r>
        <w:rPr>
          <w:rFonts w:ascii="Arial" w:eastAsia="Arial" w:hAnsi="Arial" w:cs="Arial"/>
          <w:b/>
          <w:i/>
        </w:rPr>
        <w:t>.</w:t>
      </w:r>
    </w:p>
    <w:p w14:paraId="7739C373" w14:textId="77777777" w:rsidR="009C1D78" w:rsidRDefault="00000000">
      <w:pPr>
        <w:numPr>
          <w:ilvl w:val="0"/>
          <w:numId w:val="2"/>
        </w:numPr>
        <w:tabs>
          <w:tab w:val="left" w:pos="1701"/>
        </w:tabs>
        <w:spacing w:after="120" w:line="259" w:lineRule="auto"/>
        <w:jc w:val="both"/>
        <w:rPr>
          <w:rFonts w:ascii="Aptos" w:eastAsia="Aptos" w:hAnsi="Aptos" w:cs="Aptos"/>
          <w:sz w:val="24"/>
          <w:szCs w:val="24"/>
        </w:rPr>
      </w:pPr>
      <w:r>
        <w:rPr>
          <w:rFonts w:ascii="Arial" w:eastAsia="Arial" w:hAnsi="Arial" w:cs="Arial"/>
          <w:b/>
          <w:i/>
        </w:rPr>
        <w:t>RAN shall initiate a study on Dual Stack as part of the 6G Study to address the migration from existing generation networks (4G or 5G) to 6G without having impact on the previous generation RANs.</w:t>
      </w:r>
    </w:p>
    <w:p w14:paraId="7E0C0B2F" w14:textId="77777777" w:rsidR="009C1D78" w:rsidRDefault="00000000">
      <w:pPr>
        <w:numPr>
          <w:ilvl w:val="0"/>
          <w:numId w:val="2"/>
        </w:numPr>
        <w:tabs>
          <w:tab w:val="left" w:pos="1701"/>
        </w:tabs>
        <w:spacing w:after="120" w:line="259" w:lineRule="auto"/>
        <w:jc w:val="both"/>
        <w:rPr>
          <w:rFonts w:ascii="Aptos" w:eastAsia="Aptos" w:hAnsi="Aptos" w:cs="Aptos"/>
          <w:sz w:val="24"/>
          <w:szCs w:val="24"/>
        </w:rPr>
      </w:pPr>
      <w:r>
        <w:rPr>
          <w:rFonts w:ascii="Arial" w:eastAsia="Arial" w:hAnsi="Arial" w:cs="Arial"/>
          <w:b/>
          <w:i/>
        </w:rPr>
        <w:t>RAN shall initiate a liaison request to SA to study 4G-6G interworking at the Core level.</w:t>
      </w:r>
    </w:p>
    <w:p w14:paraId="2F160662" w14:textId="77777777" w:rsidR="009C1D78" w:rsidRDefault="00000000">
      <w:pPr>
        <w:pStyle w:val="Heading1"/>
      </w:pPr>
      <w:bookmarkStart w:id="9" w:name="_heading=h.ax3rxcz73qvd" w:colFirst="0" w:colLast="0"/>
      <w:bookmarkEnd w:id="9"/>
      <w:r>
        <w:t>Reference</w:t>
      </w:r>
    </w:p>
    <w:p w14:paraId="7AFF9E43" w14:textId="77777777" w:rsidR="009C1D78" w:rsidRDefault="00000000">
      <w:pPr>
        <w:numPr>
          <w:ilvl w:val="0"/>
          <w:numId w:val="3"/>
        </w:numPr>
        <w:spacing w:after="120" w:line="259" w:lineRule="auto"/>
        <w:jc w:val="both"/>
        <w:rPr>
          <w:rFonts w:ascii="Aptos" w:eastAsia="Aptos" w:hAnsi="Aptos" w:cs="Aptos"/>
          <w:sz w:val="24"/>
          <w:szCs w:val="24"/>
        </w:rPr>
      </w:pPr>
      <w:bookmarkStart w:id="10" w:name="_heading=h.701kdllkrn99" w:colFirst="0" w:colLast="0"/>
      <w:bookmarkEnd w:id="10"/>
      <w:r>
        <w:rPr>
          <w:rFonts w:ascii="Arial" w:eastAsia="Arial" w:hAnsi="Arial" w:cs="Arial"/>
        </w:rPr>
        <w:t>GSMA, “The Mobile Economy 2025”, March 2025</w:t>
      </w:r>
    </w:p>
    <w:p w14:paraId="3B67672D" w14:textId="77777777" w:rsidR="009C1D78" w:rsidRDefault="00000000">
      <w:pPr>
        <w:numPr>
          <w:ilvl w:val="0"/>
          <w:numId w:val="3"/>
        </w:numPr>
        <w:spacing w:after="120" w:line="259" w:lineRule="auto"/>
        <w:jc w:val="both"/>
        <w:rPr>
          <w:rFonts w:ascii="Aptos" w:eastAsia="Aptos" w:hAnsi="Aptos" w:cs="Aptos"/>
          <w:sz w:val="24"/>
          <w:szCs w:val="24"/>
        </w:rPr>
      </w:pPr>
      <w:r>
        <w:rPr>
          <w:rFonts w:ascii="Arial" w:eastAsia="Arial" w:hAnsi="Arial" w:cs="Arial"/>
          <w:color w:val="0000FF"/>
          <w:u w:val="single"/>
        </w:rPr>
        <w:t>RP-251881</w:t>
      </w:r>
      <w:r>
        <w:rPr>
          <w:rFonts w:ascii="Arial" w:eastAsia="Arial" w:hAnsi="Arial" w:cs="Arial"/>
        </w:rPr>
        <w:t>, “Study on 6G Radio,” 3GPP TSG RAN Meeting #108, Prague, CZ, June 2025</w:t>
      </w:r>
    </w:p>
    <w:p w14:paraId="08EE067D" w14:textId="77777777" w:rsidR="009C1D78" w:rsidRDefault="00000000">
      <w:pPr>
        <w:spacing w:after="120" w:line="259" w:lineRule="auto"/>
        <w:jc w:val="both"/>
        <w:rPr>
          <w:rFonts w:ascii="Arial" w:eastAsia="Arial" w:hAnsi="Arial" w:cs="Arial"/>
        </w:rPr>
      </w:pPr>
      <w:r>
        <w:rPr>
          <w:rFonts w:ascii="Arial" w:eastAsia="Arial" w:hAnsi="Arial" w:cs="Arial"/>
        </w:rPr>
        <w:t xml:space="preserve"> </w:t>
      </w:r>
    </w:p>
    <w:p w14:paraId="2E7B946C" w14:textId="77777777" w:rsidR="009C1D78" w:rsidRDefault="009C1D78">
      <w:pPr>
        <w:spacing w:after="120" w:line="259" w:lineRule="auto"/>
        <w:jc w:val="both"/>
        <w:rPr>
          <w:rFonts w:ascii="Arial" w:eastAsia="Arial" w:hAnsi="Arial" w:cs="Arial"/>
        </w:rPr>
      </w:pPr>
    </w:p>
    <w:sectPr w:rsidR="009C1D78">
      <w:footerReference w:type="default" r:id="rId10"/>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7EC5B1" w14:textId="77777777" w:rsidR="0028726F" w:rsidRDefault="0028726F">
      <w:pPr>
        <w:spacing w:after="0"/>
      </w:pPr>
      <w:r>
        <w:separator/>
      </w:r>
    </w:p>
  </w:endnote>
  <w:endnote w:type="continuationSeparator" w:id="0">
    <w:p w14:paraId="3AB4251E" w14:textId="77777777" w:rsidR="0028726F" w:rsidRDefault="002872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Cambria"/>
    <w:panose1 w:val="00000000000000000000"/>
    <w:charset w:val="00"/>
    <w:family w:val="roman"/>
    <w:notTrueType/>
    <w:pitch w:val="default"/>
  </w:font>
  <w:font w:name="Osak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Intel Clear">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imes-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G Times (W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67C55" w14:textId="77777777" w:rsidR="009C1D78" w:rsidRDefault="00000000">
    <w:pPr>
      <w:widowControl w:val="0"/>
      <w:pBdr>
        <w:top w:val="nil"/>
        <w:left w:val="nil"/>
        <w:bottom w:val="nil"/>
        <w:right w:val="nil"/>
        <w:between w:val="nil"/>
      </w:pBdr>
      <w:spacing w:after="0"/>
      <w:jc w:val="center"/>
      <w:rPr>
        <w:rFonts w:ascii="Arial" w:eastAsia="Arial" w:hAnsi="Arial" w:cs="Arial"/>
        <w:b/>
        <w:i/>
        <w:color w:val="000000"/>
        <w:sz w:val="18"/>
        <w:szCs w:val="18"/>
      </w:rPr>
    </w:pPr>
    <w:r>
      <w:rPr>
        <w:rFonts w:ascii="Arial" w:eastAsia="Arial" w:hAnsi="Arial" w:cs="Arial"/>
        <w:b/>
        <w:i/>
        <w:color w:val="000000"/>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1C2B8A" w14:textId="77777777" w:rsidR="0028726F" w:rsidRDefault="0028726F">
      <w:pPr>
        <w:spacing w:after="0"/>
      </w:pPr>
      <w:r>
        <w:separator/>
      </w:r>
    </w:p>
  </w:footnote>
  <w:footnote w:type="continuationSeparator" w:id="0">
    <w:p w14:paraId="4A019C36" w14:textId="77777777" w:rsidR="0028726F" w:rsidRDefault="002872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159AD"/>
    <w:multiLevelType w:val="multilevel"/>
    <w:tmpl w:val="0CD4A4E2"/>
    <w:lvl w:ilvl="0">
      <w:start w:val="1"/>
      <w:numFmt w:val="decimal"/>
      <w:pStyle w:val="ListNumber4"/>
      <w:lvlText w:val="[%1]"/>
      <w:lvlJc w:val="left"/>
      <w:pPr>
        <w:ind w:left="567" w:hanging="567"/>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 w15:restartNumberingAfterBreak="0">
    <w:nsid w:val="33DC4103"/>
    <w:multiLevelType w:val="multilevel"/>
    <w:tmpl w:val="9CD4F7F0"/>
    <w:lvl w:ilvl="0">
      <w:start w:val="1"/>
      <w:numFmt w:val="bullet"/>
      <w:pStyle w:val="myReference"/>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CD4538A"/>
    <w:multiLevelType w:val="multilevel"/>
    <w:tmpl w:val="5CAA5616"/>
    <w:lvl w:ilvl="0">
      <w:start w:val="1"/>
      <w:numFmt w:val="decimal"/>
      <w:pStyle w:val="Figur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BEC2EBD"/>
    <w:multiLevelType w:val="multilevel"/>
    <w:tmpl w:val="A94E914A"/>
    <w:lvl w:ilvl="0">
      <w:start w:val="1"/>
      <w:numFmt w:val="bullet"/>
      <w:pStyle w:val="References"/>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711B5BAF"/>
    <w:multiLevelType w:val="multilevel"/>
    <w:tmpl w:val="3FD2B80A"/>
    <w:lvl w:ilvl="0">
      <w:start w:val="1"/>
      <w:numFmt w:val="bullet"/>
      <w:pStyle w:val="ListNumber3"/>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70F43A9"/>
    <w:multiLevelType w:val="multilevel"/>
    <w:tmpl w:val="FC90DA4E"/>
    <w:lvl w:ilvl="0">
      <w:start w:val="1"/>
      <w:numFmt w:val="decimal"/>
      <w:pStyle w:val="CharCharCharCharChar"/>
      <w:lvlText w:val="Proposal %1"/>
      <w:lvlJc w:val="left"/>
      <w:pPr>
        <w:ind w:left="1304" w:hanging="1304"/>
      </w:pPr>
      <w:rPr>
        <w:u w:val="none"/>
      </w:rPr>
    </w:lvl>
    <w:lvl w:ilvl="1">
      <w:start w:val="1"/>
      <w:numFmt w:val="lowerLetter"/>
      <w:lvlText w:val="%2."/>
      <w:lvlJc w:val="left"/>
      <w:pPr>
        <w:ind w:left="1440" w:hanging="360"/>
      </w:pPr>
      <w:rPr>
        <w:u w:val="none"/>
      </w:rPr>
    </w:lvl>
    <w:lvl w:ilvl="2">
      <w:start w:val="1"/>
      <w:numFmt w:val="bullet"/>
      <w:lvlText w:val="●"/>
      <w:lvlJc w:val="left"/>
      <w:pPr>
        <w:ind w:left="2340" w:hanging="360"/>
      </w:pPr>
      <w:rPr>
        <w:u w:val="none"/>
      </w:rPr>
    </w:lvl>
    <w:lvl w:ilvl="3">
      <w:start w:val="1"/>
      <w:numFmt w:val="bullet"/>
      <w:lvlText w:val="o"/>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16cid:durableId="494301361">
    <w:abstractNumId w:val="1"/>
  </w:num>
  <w:num w:numId="2" w16cid:durableId="486868811">
    <w:abstractNumId w:val="5"/>
  </w:num>
  <w:num w:numId="3" w16cid:durableId="1825975934">
    <w:abstractNumId w:val="0"/>
  </w:num>
  <w:num w:numId="4" w16cid:durableId="2067680564">
    <w:abstractNumId w:val="4"/>
  </w:num>
  <w:num w:numId="5" w16cid:durableId="1570308655">
    <w:abstractNumId w:val="3"/>
  </w:num>
  <w:num w:numId="6" w16cid:durableId="86511612">
    <w:abstractNumId w:val="2"/>
  </w:num>
  <w:num w:numId="7" w16cid:durableId="19961026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59351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32328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04401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67531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4669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04582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585701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74767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755369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85432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099559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1D78"/>
    <w:rsid w:val="00022D8E"/>
    <w:rsid w:val="00041BE7"/>
    <w:rsid w:val="00046D78"/>
    <w:rsid w:val="0022743A"/>
    <w:rsid w:val="0028726F"/>
    <w:rsid w:val="002B5BE2"/>
    <w:rsid w:val="009925AB"/>
    <w:rsid w:val="009C1D78"/>
    <w:rsid w:val="00C1084D"/>
    <w:rsid w:val="00D20ED2"/>
    <w:rsid w:val="00E503C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BCED0"/>
  <w15:docId w15:val="{DC9627AD-CE5D-44A8-9FB2-EAE09B487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ko-KR"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3"/>
    <w:uiPriority w:val="9"/>
    <w:qFormat/>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link w:val="Heading2Char"/>
    <w:uiPriority w:val="9"/>
    <w:unhideWhenUsed/>
    <w:qFormat/>
    <w:pPr>
      <w:keepNext/>
      <w:keepLines/>
      <w:pBdr>
        <w:top w:val="none" w:sz="0" w:space="0"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link w:val="Heading3Char"/>
    <w:uiPriority w:val="9"/>
    <w:semiHidden/>
    <w:unhideWhenUsed/>
    <w:qFormat/>
    <w:pPr>
      <w:keepNext/>
      <w:keepLines/>
      <w:pBdr>
        <w:top w:val="none" w:sz="0" w:space="0"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link w:val="Heading4Char"/>
    <w:uiPriority w:val="9"/>
    <w:semiHidden/>
    <w:unhideWhenUsed/>
    <w:qFormat/>
    <w:pPr>
      <w:keepNext/>
      <w:keepLines/>
      <w:pBdr>
        <w:top w:val="none" w:sz="0" w:space="0"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link w:val="Heading5Char"/>
    <w:uiPriority w:val="9"/>
    <w:semiHidden/>
    <w:unhideWhenUsed/>
    <w:qFormat/>
    <w:pPr>
      <w:keepNext/>
      <w:keepLines/>
      <w:pBdr>
        <w:top w:val="none" w:sz="0" w:space="0"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link w:val="Heading6Char"/>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link w:val="TitleChar"/>
    <w:uiPriority w:val="10"/>
    <w:qFormat/>
    <w:pPr>
      <w:spacing w:before="240" w:after="60"/>
    </w:pPr>
    <w:rPr>
      <w:rFonts w:ascii="Arial" w:eastAsia="Arial" w:hAnsi="Arial" w:cs="Arial"/>
      <w:b/>
      <w:sz w:val="28"/>
      <w:szCs w:val="28"/>
    </w:rPr>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link w:val="Heading1"/>
    <w:rsid w:val="003615B3"/>
    <w:rPr>
      <w:rFonts w:ascii="Arial" w:hAnsi="Arial"/>
      <w:sz w:val="36"/>
      <w:lang w:val="en-GB" w:eastAsia="en-US" w:bidi="ar-SA"/>
    </w:rPr>
  </w:style>
  <w:style w:type="character" w:customStyle="1" w:styleId="Heading2Char">
    <w:name w:val="Heading 2 Char"/>
    <w:link w:val="Heading2"/>
    <w:rsid w:val="003615B3"/>
    <w:rPr>
      <w:rFonts w:ascii="Arial" w:hAnsi="Arial"/>
      <w:sz w:val="32"/>
      <w:lang w:val="en-GB" w:eastAsia="en-US" w:bidi="ar-SA"/>
    </w:rPr>
  </w:style>
  <w:style w:type="character" w:customStyle="1" w:styleId="Heading3Char">
    <w:name w:val="Heading 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sz w:val="28"/>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0">
    <w:name w:val="修订1"/>
    <w:hidden/>
    <w:semiHidden/>
    <w:rsid w:val="001E73B6"/>
    <w:rPr>
      <w:rFonts w:eastAsia="Batang"/>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tabs>
        <w:tab w:val="num" w:pos="720"/>
      </w:tabs>
      <w:spacing w:beforeLines="20" w:before="62" w:afterLines="10" w:after="31"/>
      <w:ind w:left="720" w:right="284" w:hanging="720"/>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样式1"/>
    <w:basedOn w:val="TAN"/>
    <w:link w:val="1Char0"/>
    <w:qFormat/>
    <w:rsid w:val="001E73B6"/>
    <w:pPr>
      <w:tabs>
        <w:tab w:val="num" w:pos="720"/>
      </w:tabs>
      <w:overflowPunct w:val="0"/>
      <w:autoSpaceDE w:val="0"/>
      <w:autoSpaceDN w:val="0"/>
      <w:adjustRightInd w:val="0"/>
      <w:ind w:left="720" w:hanging="720"/>
      <w:textAlignment w:val="baseline"/>
    </w:pPr>
    <w:rPr>
      <w:lang w:eastAsia="ja-JP"/>
    </w:rPr>
  </w:style>
  <w:style w:type="character" w:customStyle="1" w:styleId="1Char0">
    <w:name w:val="样式1 Char"/>
    <w:link w:val="11"/>
    <w:rsid w:val="001E73B6"/>
    <w:rPr>
      <w:rFonts w:ascii="Arial"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tabs>
        <w:tab w:val="num" w:pos="720"/>
      </w:tabs>
      <w:ind w:left="720" w:hanging="720"/>
    </w:pPr>
    <w:rPr>
      <w:rFonts w:eastAsia="Batang"/>
    </w:rPr>
  </w:style>
  <w:style w:type="table" w:customStyle="1" w:styleId="TableGrid2">
    <w:name w:val="Table Grid2"/>
    <w:basedOn w:val="TableNormal"/>
    <w:next w:val="TableGrid"/>
    <w:rsid w:val="001E73B6"/>
    <w:pPr>
      <w:overflowPunct w:val="0"/>
      <w:autoSpaceDE w:val="0"/>
      <w:autoSpaceDN w:val="0"/>
      <w:adjustRightInd w:val="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tabs>
        <w:tab w:val="num" w:pos="72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style>
  <w:style w:type="paragraph" w:customStyle="1" w:styleId="ZC">
    <w:name w:val="ZC"/>
    <w:rsid w:val="001E73B6"/>
    <w:pPr>
      <w:spacing w:line="360" w:lineRule="atLeast"/>
      <w:jc w:val="center"/>
    </w:p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rPr>
  </w:style>
  <w:style w:type="paragraph" w:customStyle="1" w:styleId="-PAGE-">
    <w:name w:val="- PAGE -"/>
    <w:rsid w:val="001E73B6"/>
    <w:rPr>
      <w:sz w:val="24"/>
      <w:szCs w:val="24"/>
    </w:rPr>
  </w:style>
  <w:style w:type="paragraph" w:customStyle="1" w:styleId="PageXofY">
    <w:name w:val="Page X of Y"/>
    <w:rsid w:val="001E73B6"/>
    <w:rPr>
      <w:sz w:val="24"/>
      <w:szCs w:val="24"/>
    </w:rPr>
  </w:style>
  <w:style w:type="paragraph" w:customStyle="1" w:styleId="Createdby">
    <w:name w:val="Created by"/>
    <w:rsid w:val="001E73B6"/>
    <w:rPr>
      <w:sz w:val="24"/>
      <w:szCs w:val="24"/>
    </w:rPr>
  </w:style>
  <w:style w:type="paragraph" w:customStyle="1" w:styleId="Createdon">
    <w:name w:val="Created on"/>
    <w:rsid w:val="001E73B6"/>
    <w:rPr>
      <w:sz w:val="24"/>
      <w:szCs w:val="24"/>
    </w:rPr>
  </w:style>
  <w:style w:type="paragraph" w:customStyle="1" w:styleId="Lastprinted">
    <w:name w:val="Last printed"/>
    <w:rsid w:val="001E73B6"/>
    <w:rPr>
      <w:sz w:val="24"/>
      <w:szCs w:val="24"/>
    </w:rPr>
  </w:style>
  <w:style w:type="paragraph" w:customStyle="1" w:styleId="Lastsavedby">
    <w:name w:val="Last saved by"/>
    <w:rsid w:val="001E73B6"/>
    <w:rPr>
      <w:sz w:val="24"/>
      <w:szCs w:val="24"/>
    </w:rPr>
  </w:style>
  <w:style w:type="paragraph" w:customStyle="1" w:styleId="Filename">
    <w:name w:val="Filename"/>
    <w:rsid w:val="001E73B6"/>
    <w:rPr>
      <w:sz w:val="24"/>
      <w:szCs w:val="24"/>
    </w:rPr>
  </w:style>
  <w:style w:type="paragraph" w:customStyle="1" w:styleId="Filenameandpath">
    <w:name w:val="Filename and path"/>
    <w:rsid w:val="001E73B6"/>
    <w:rPr>
      <w:sz w:val="24"/>
      <w:szCs w:val="24"/>
    </w:rPr>
  </w:style>
  <w:style w:type="paragraph" w:customStyle="1" w:styleId="AuthorPageDate">
    <w:name w:val="Author  Page #  Date"/>
    <w:rsid w:val="001E73B6"/>
    <w:rPr>
      <w:sz w:val="24"/>
      <w:szCs w:val="24"/>
    </w:rPr>
  </w:style>
  <w:style w:type="paragraph" w:customStyle="1" w:styleId="ConfidentialPageDate">
    <w:name w:val="Confidential  Page #  Date"/>
    <w:rsid w:val="001E73B6"/>
    <w:rPr>
      <w:sz w:val="24"/>
      <w:szCs w:val="24"/>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1E73B6"/>
    <w:rPr>
      <w:kern w:val="2"/>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
    <w:locked/>
    <w:rsid w:val="003347AA"/>
    <w:rPr>
      <w:lang w:val="en-GB"/>
    </w:rPr>
  </w:style>
  <w:style w:type="paragraph" w:customStyle="1" w:styleId="a0">
    <w:name w:val="修订"/>
    <w:semiHidden/>
    <w:rsid w:val="003347AA"/>
    <w:rPr>
      <w:rFonts w:eastAsia="Batang"/>
    </w:rPr>
  </w:style>
  <w:style w:type="paragraph" w:customStyle="1" w:styleId="a1">
    <w:name w:val="吹き出し"/>
    <w:basedOn w:val="Normal"/>
    <w:semiHidden/>
    <w:rsid w:val="003347AA"/>
    <w:rPr>
      <w:rFonts w:ascii="Tahoma" w:hAnsi="Tahoma" w:cs="Tahoma"/>
      <w:sz w:val="16"/>
      <w:szCs w:val="16"/>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rPr>
  </w:style>
  <w:style w:type="character" w:customStyle="1" w:styleId="B1Zchn">
    <w:name w:val="B1 Zchn"/>
    <w:rsid w:val="003347AA"/>
    <w:rPr>
      <w:rFonts w:ascii="Times New Roman" w:hAnsi="Times New Roman" w:cs="Times New Roman" w:hint="default"/>
      <w:lang w:val="en-GB"/>
    </w:rPr>
  </w:style>
  <w:style w:type="character" w:customStyle="1" w:styleId="UnresolvedMention1">
    <w:name w:val="Unresolved Mention1"/>
    <w:uiPriority w:val="99"/>
    <w:unhideWhenUsed/>
    <w:rsid w:val="007E4D89"/>
    <w:rPr>
      <w:color w:val="605E5C"/>
      <w:shd w:val="clear" w:color="auto" w:fill="E1DFDD"/>
    </w:rPr>
  </w:style>
  <w:style w:type="character" w:customStyle="1" w:styleId="UnresolvedMention10">
    <w:name w:val="Unresolved Mention1"/>
    <w:uiPriority w:val="99"/>
    <w:unhideWhenUsed/>
    <w:rsid w:val="007E4D89"/>
    <w:rPr>
      <w:color w:val="808080"/>
      <w:shd w:val="clear" w:color="auto" w:fill="E6E6E6"/>
    </w:rPr>
  </w:style>
  <w:style w:type="paragraph" w:customStyle="1" w:styleId="B20">
    <w:name w:val="B2+"/>
    <w:basedOn w:val="B2"/>
    <w:rsid w:val="007E4D89"/>
    <w:pPr>
      <w:tabs>
        <w:tab w:val="num" w:pos="720"/>
      </w:tabs>
      <w:overflowPunct w:val="0"/>
      <w:autoSpaceDE w:val="0"/>
      <w:autoSpaceDN w:val="0"/>
      <w:adjustRightInd w:val="0"/>
      <w:ind w:left="720" w:hanging="720"/>
      <w:textAlignment w:val="baseline"/>
    </w:pPr>
    <w:rPr>
      <w:lang w:eastAsia="en-GB"/>
    </w:rPr>
  </w:style>
  <w:style w:type="paragraph" w:customStyle="1" w:styleId="B30">
    <w:name w:val="B3+"/>
    <w:basedOn w:val="B3"/>
    <w:rsid w:val="007E4D89"/>
    <w:pPr>
      <w:tabs>
        <w:tab w:val="num" w:pos="720"/>
        <w:tab w:val="left" w:pos="1134"/>
      </w:tabs>
      <w:overflowPunct w:val="0"/>
      <w:autoSpaceDE w:val="0"/>
      <w:autoSpaceDN w:val="0"/>
      <w:adjustRightInd w:val="0"/>
      <w:ind w:left="720" w:hanging="72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tabs>
        <w:tab w:val="num" w:pos="720"/>
      </w:tabs>
      <w:overflowPunct w:val="0"/>
      <w:autoSpaceDE w:val="0"/>
      <w:autoSpaceDN w:val="0"/>
      <w:adjustRightInd w:val="0"/>
      <w:ind w:left="720" w:hanging="720"/>
      <w:textAlignment w:val="baseline"/>
    </w:pPr>
    <w:rPr>
      <w:lang w:eastAsia="en-GB"/>
    </w:rPr>
  </w:style>
  <w:style w:type="paragraph" w:customStyle="1" w:styleId="TB2">
    <w:name w:val="TB2"/>
    <w:basedOn w:val="Normal"/>
    <w:qFormat/>
    <w:rsid w:val="007E4D89"/>
    <w:pPr>
      <w:keepNext/>
      <w:keepLines/>
      <w:tabs>
        <w:tab w:val="num" w:pos="720"/>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2">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2"/>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style>
  <w:style w:type="character" w:customStyle="1" w:styleId="Heading4Char0">
    <w:name w:val="Heading4 Char"/>
    <w:link w:val="Heading40"/>
    <w:semiHidden/>
    <w:rsid w:val="007E4D89"/>
    <w:rPr>
      <w:rFonts w:ascii="Arial" w:eastAsia="Arial" w:hAnsi="Arial"/>
      <w:sz w:val="28"/>
      <w:lang w:val="en-GB"/>
    </w:rPr>
  </w:style>
  <w:style w:type="paragraph" w:customStyle="1" w:styleId="a3">
    <w:name w:val="表格题注"/>
    <w:next w:val="Normal"/>
    <w:rsid w:val="007E4D89"/>
    <w:pPr>
      <w:tabs>
        <w:tab w:val="num" w:pos="720"/>
      </w:tabs>
      <w:spacing w:beforeLines="50" w:afterLines="50"/>
      <w:ind w:left="720" w:hanging="720"/>
      <w:jc w:val="center"/>
    </w:pPr>
    <w:rPr>
      <w:rFonts w:eastAsia="Yu Mincho"/>
      <w:b/>
      <w:lang w:eastAsia="zh-CN"/>
    </w:rPr>
  </w:style>
  <w:style w:type="paragraph" w:customStyle="1" w:styleId="a4">
    <w:name w:val="插图题注"/>
    <w:next w:val="Normal"/>
    <w:rsid w:val="007E4D89"/>
    <w:pPr>
      <w:tabs>
        <w:tab w:val="num" w:pos="720"/>
      </w:tabs>
      <w:ind w:left="720" w:hanging="720"/>
      <w:jc w:val="center"/>
    </w:pPr>
    <w:rPr>
      <w:rFonts w:eastAsia="Yu Mincho"/>
      <w:b/>
      <w:lang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tabs>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rPr>
  </w:style>
  <w:style w:type="character" w:customStyle="1" w:styleId="EditorsNoteCarCar">
    <w:name w:val="Editor's Note Car Car"/>
    <w:qFormat/>
    <w:rsid w:val="00D03268"/>
    <w:rPr>
      <w:color w:val="FF0000"/>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cJzRDUgjWAc57G1EjxbjfJ2PNw==">CgMxLjAyD2lkLngzZTZhOTdudmxnMjIPaWQubzN0Y3JqbWY1N2tnMg9pZC5vNG42aWd1bWljd3kyDmguamhvbXlndWQ5bnU3Mg5oLnl5bGlybDIxbTV2NjIOaC51YWRlbGc2bW9jZTEyDmgubHB2ejJzM3hwbzZlMg5oLml3cXR3MXQ4eXFzMzIOaC4zYmtzczNtNDh5ajQyDmguYXgzcnhjejczcXZkMg5oLjcwMWtkbGxrcm45OTgAciExLWVjS2FCckxmM0xwUFJZaEdoVVpvalBoUmtrWnVqUW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Pages>
  <Words>1147</Words>
  <Characters>6539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Pope / John M Meredith</dc:creator>
  <cp:lastModifiedBy>Kim, Daejoong</cp:lastModifiedBy>
  <cp:revision>4</cp:revision>
  <dcterms:created xsi:type="dcterms:W3CDTF">2023-08-04T16:05:00Z</dcterms:created>
  <dcterms:modified xsi:type="dcterms:W3CDTF">2025-09-02T13:23:00Z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0x0101003AA7AC0C743A294CADF60F661720E3E6</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2022-11-02T05:23:36Z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fb0ecfe2-7777-40b8-a491-c3ad91beb81f</vt:lpwstr>
  </property>
  <property fmtid="{D5CDD505-2E9C-101B-9397-08002B2CF9AE}" pid="10" name="MSIP_Label_83bcef13-7cac-433f-ba1d-47a323951816_ContentBits">
    <vt:lpwstr>0</vt:lpwstr>
  </property>
</Properties>
</file>